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13" w:rsidRPr="00486E9B" w:rsidRDefault="00E334FB" w:rsidP="00486E9B">
      <w:pPr>
        <w:shd w:val="clear" w:color="auto" w:fill="C6D9F1" w:themeFill="text2" w:themeFillTint="33"/>
        <w:spacing w:line="360" w:lineRule="auto"/>
        <w:jc w:val="center"/>
        <w:rPr>
          <w:rFonts w:ascii="Arial" w:hAnsi="Arial" w:cs="Arial"/>
          <w:b/>
          <w:sz w:val="30"/>
          <w:szCs w:val="24"/>
        </w:rPr>
      </w:pPr>
      <w:r w:rsidRPr="00486E9B">
        <w:rPr>
          <w:rFonts w:ascii="Arial" w:hAnsi="Arial" w:cs="Arial"/>
          <w:b/>
          <w:sz w:val="30"/>
          <w:szCs w:val="24"/>
        </w:rPr>
        <w:t xml:space="preserve">Standard Method of Calculating the </w:t>
      </w:r>
      <w:r w:rsidR="00CE2E13" w:rsidRPr="00486E9B">
        <w:rPr>
          <w:rFonts w:ascii="Arial" w:hAnsi="Arial" w:cs="Arial"/>
          <w:b/>
          <w:sz w:val="30"/>
          <w:szCs w:val="24"/>
        </w:rPr>
        <w:t xml:space="preserve">HDI </w:t>
      </w:r>
      <w:r w:rsidRPr="00486E9B">
        <w:rPr>
          <w:rFonts w:ascii="Arial" w:hAnsi="Arial" w:cs="Arial"/>
          <w:b/>
          <w:sz w:val="30"/>
          <w:szCs w:val="24"/>
        </w:rPr>
        <w:t>of a Country</w:t>
      </w:r>
    </w:p>
    <w:p w:rsidR="00E334FB" w:rsidRDefault="00E334FB" w:rsidP="00486E9B">
      <w:pPr>
        <w:shd w:val="clear" w:color="auto" w:fill="92D050"/>
        <w:spacing w:before="0" w:after="0" w:line="240" w:lineRule="auto"/>
        <w:ind w:left="576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Binod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Goswami</w:t>
      </w:r>
      <w:proofErr w:type="spellEnd"/>
    </w:p>
    <w:p w:rsidR="00486E9B" w:rsidRPr="00E334FB" w:rsidRDefault="00E334FB" w:rsidP="00486E9B">
      <w:pPr>
        <w:shd w:val="clear" w:color="auto" w:fill="92D050"/>
        <w:spacing w:before="0" w:after="0" w:line="240" w:lineRule="auto"/>
        <w:ind w:left="57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sz w:val="24"/>
          <w:szCs w:val="24"/>
        </w:rPr>
        <w:t>Nowgong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Girls’ College</w:t>
      </w:r>
    </w:p>
    <w:p w:rsidR="00486E9B" w:rsidRDefault="00486E9B" w:rsidP="008F5818">
      <w:pPr>
        <w:pStyle w:val="Heading1"/>
      </w:pPr>
    </w:p>
    <w:p w:rsidR="00CE2E13" w:rsidRPr="00FC41E5" w:rsidRDefault="00CE2E13" w:rsidP="008F5818">
      <w:pPr>
        <w:pStyle w:val="Default"/>
      </w:pPr>
      <w:r w:rsidRPr="00FC41E5">
        <w:t xml:space="preserve">The Human Development Index (HDI) is a statistical tool used to measure a country's overall achievement in its social and economic dimensions. The social and economic dimensions of a country are based on the health of people, their level of education attainment and their standard of living. This index </w:t>
      </w:r>
      <w:proofErr w:type="gramStart"/>
      <w:r w:rsidRPr="00FC41E5">
        <w:t>shifted  the</w:t>
      </w:r>
      <w:proofErr w:type="gramEnd"/>
      <w:r w:rsidRPr="00FC41E5">
        <w:t xml:space="preserve"> focus of development economics from </w:t>
      </w:r>
      <w:hyperlink r:id="rId5" w:tooltip="National income" w:history="1">
        <w:r w:rsidRPr="00FC41E5">
          <w:rPr>
            <w:rStyle w:val="Hyperlink"/>
            <w:color w:val="auto"/>
            <w:u w:val="none"/>
          </w:rPr>
          <w:t>national income</w:t>
        </w:r>
      </w:hyperlink>
      <w:r w:rsidRPr="00FC41E5">
        <w:t xml:space="preserve"> accounting to </w:t>
      </w:r>
      <w:hyperlink r:id="rId6" w:tooltip="People-centered development" w:history="1">
        <w:r w:rsidRPr="00FC41E5">
          <w:rPr>
            <w:rStyle w:val="Hyperlink"/>
            <w:color w:val="auto"/>
            <w:u w:val="none"/>
          </w:rPr>
          <w:t>people-centered policies</w:t>
        </w:r>
      </w:hyperlink>
      <w:r w:rsidRPr="00FC41E5">
        <w:t xml:space="preserve">. Pakistani economist </w:t>
      </w:r>
      <w:proofErr w:type="spellStart"/>
      <w:r w:rsidRPr="00FC41E5">
        <w:t>Mahbub</w:t>
      </w:r>
      <w:proofErr w:type="spellEnd"/>
      <w:r w:rsidRPr="00FC41E5">
        <w:t xml:space="preserve"> </w:t>
      </w:r>
      <w:proofErr w:type="spellStart"/>
      <w:r w:rsidRPr="00FC41E5">
        <w:t>ul</w:t>
      </w:r>
      <w:proofErr w:type="spellEnd"/>
      <w:r w:rsidRPr="00FC41E5">
        <w:t xml:space="preserve"> </w:t>
      </w:r>
      <w:proofErr w:type="spellStart"/>
      <w:r w:rsidRPr="00FC41E5">
        <w:t>Haq</w:t>
      </w:r>
      <w:proofErr w:type="spellEnd"/>
      <w:r w:rsidRPr="00FC41E5">
        <w:t xml:space="preserve"> shaped HDI in 1990.  </w:t>
      </w:r>
      <w:proofErr w:type="spellStart"/>
      <w:r w:rsidRPr="00FC41E5">
        <w:t>Mahbub</w:t>
      </w:r>
      <w:proofErr w:type="spellEnd"/>
      <w:r w:rsidRPr="00FC41E5">
        <w:t xml:space="preserve"> </w:t>
      </w:r>
      <w:proofErr w:type="spellStart"/>
      <w:r w:rsidRPr="00FC41E5">
        <w:t>ul</w:t>
      </w:r>
      <w:proofErr w:type="spellEnd"/>
      <w:r w:rsidRPr="00FC41E5">
        <w:t xml:space="preserve"> </w:t>
      </w:r>
      <w:proofErr w:type="spellStart"/>
      <w:r w:rsidRPr="00FC41E5">
        <w:t>Haq</w:t>
      </w:r>
      <w:proofErr w:type="spellEnd"/>
      <w:r w:rsidRPr="00FC41E5">
        <w:t xml:space="preserve"> constructed the Human Development Reports for the first time with the help of some development economists </w:t>
      </w:r>
      <w:hyperlink r:id="rId7" w:tooltip="Paul Streeten" w:history="1">
        <w:r w:rsidRPr="00FC41E5">
          <w:rPr>
            <w:rStyle w:val="Hyperlink"/>
            <w:color w:val="auto"/>
            <w:u w:val="none"/>
          </w:rPr>
          <w:t xml:space="preserve">Paul </w:t>
        </w:r>
        <w:proofErr w:type="spellStart"/>
        <w:r w:rsidRPr="00FC41E5">
          <w:rPr>
            <w:rStyle w:val="Hyperlink"/>
            <w:color w:val="auto"/>
            <w:u w:val="none"/>
          </w:rPr>
          <w:t>Streeten</w:t>
        </w:r>
        <w:proofErr w:type="spellEnd"/>
      </w:hyperlink>
      <w:r w:rsidRPr="00FC41E5">
        <w:t xml:space="preserve">, </w:t>
      </w:r>
      <w:hyperlink r:id="rId8" w:tooltip="Frances Stewart (economist)" w:history="1">
        <w:r w:rsidRPr="00FC41E5">
          <w:rPr>
            <w:rStyle w:val="Hyperlink"/>
            <w:color w:val="auto"/>
            <w:u w:val="none"/>
          </w:rPr>
          <w:t>Frances Stewart</w:t>
        </w:r>
      </w:hyperlink>
      <w:r w:rsidRPr="00FC41E5">
        <w:t xml:space="preserve">, </w:t>
      </w:r>
      <w:hyperlink r:id="rId9" w:tooltip="Gustav Ranis" w:history="1">
        <w:r w:rsidRPr="00FC41E5">
          <w:rPr>
            <w:rStyle w:val="Hyperlink"/>
            <w:color w:val="auto"/>
            <w:u w:val="none"/>
          </w:rPr>
          <w:t xml:space="preserve">Gustav </w:t>
        </w:r>
        <w:proofErr w:type="spellStart"/>
        <w:r w:rsidRPr="00FC41E5">
          <w:rPr>
            <w:rStyle w:val="Hyperlink"/>
            <w:color w:val="auto"/>
            <w:u w:val="none"/>
          </w:rPr>
          <w:t>Ranis</w:t>
        </w:r>
        <w:proofErr w:type="spellEnd"/>
      </w:hyperlink>
      <w:r w:rsidRPr="00FC41E5">
        <w:t xml:space="preserve">, </w:t>
      </w:r>
      <w:hyperlink r:id="rId10" w:tooltip="Keith Griffin (economist)" w:history="1">
        <w:r w:rsidRPr="00FC41E5">
          <w:rPr>
            <w:rStyle w:val="Hyperlink"/>
            <w:color w:val="auto"/>
            <w:u w:val="none"/>
          </w:rPr>
          <w:t>Keith Griffin</w:t>
        </w:r>
      </w:hyperlink>
      <w:r w:rsidRPr="00FC41E5">
        <w:t xml:space="preserve">, </w:t>
      </w:r>
      <w:proofErr w:type="spellStart"/>
      <w:r w:rsidRPr="00FC41E5">
        <w:t>Sudhir</w:t>
      </w:r>
      <w:proofErr w:type="spellEnd"/>
      <w:r w:rsidRPr="00FC41E5">
        <w:t xml:space="preserve"> </w:t>
      </w:r>
      <w:proofErr w:type="spellStart"/>
      <w:r w:rsidRPr="00FC41E5">
        <w:t>Anand</w:t>
      </w:r>
      <w:proofErr w:type="spellEnd"/>
      <w:r w:rsidRPr="00FC41E5">
        <w:t xml:space="preserve">, and </w:t>
      </w:r>
      <w:hyperlink r:id="rId11" w:tooltip="Meghnad Desai" w:history="1">
        <w:proofErr w:type="spellStart"/>
        <w:r w:rsidRPr="00FC41E5">
          <w:rPr>
            <w:rStyle w:val="Hyperlink"/>
            <w:color w:val="auto"/>
            <w:u w:val="none"/>
          </w:rPr>
          <w:t>Meghnad</w:t>
        </w:r>
        <w:proofErr w:type="spellEnd"/>
        <w:r w:rsidRPr="00FC41E5">
          <w:rPr>
            <w:rStyle w:val="Hyperlink"/>
            <w:color w:val="auto"/>
            <w:u w:val="none"/>
          </w:rPr>
          <w:t xml:space="preserve"> Desai</w:t>
        </w:r>
      </w:hyperlink>
      <w:r w:rsidRPr="00FC41E5">
        <w:t xml:space="preserve">.   </w:t>
      </w:r>
      <w:proofErr w:type="gramStart"/>
      <w:r w:rsidRPr="00FC41E5">
        <w:t>The  United</w:t>
      </w:r>
      <w:proofErr w:type="gramEnd"/>
      <w:r w:rsidRPr="00FC41E5">
        <w:t xml:space="preserve"> Nations Development Program (UNDP) has been using this index since then  to measure the country's development. </w:t>
      </w:r>
      <w:hyperlink r:id="rId12" w:tooltip="Amartya Sen" w:history="1">
        <w:proofErr w:type="spellStart"/>
        <w:r w:rsidRPr="00FC41E5">
          <w:rPr>
            <w:rStyle w:val="Hyperlink"/>
            <w:color w:val="auto"/>
            <w:u w:val="none"/>
          </w:rPr>
          <w:t>Amartya</w:t>
        </w:r>
        <w:proofErr w:type="spellEnd"/>
        <w:r w:rsidRPr="00FC41E5">
          <w:rPr>
            <w:rStyle w:val="Hyperlink"/>
            <w:color w:val="auto"/>
            <w:u w:val="none"/>
          </w:rPr>
          <w:t xml:space="preserve"> </w:t>
        </w:r>
        <w:proofErr w:type="spellStart"/>
        <w:r w:rsidRPr="00FC41E5">
          <w:rPr>
            <w:rStyle w:val="Hyperlink"/>
            <w:color w:val="auto"/>
            <w:u w:val="none"/>
          </w:rPr>
          <w:t>Sen</w:t>
        </w:r>
        <w:proofErr w:type="spellEnd"/>
      </w:hyperlink>
      <w:r w:rsidRPr="00FC41E5">
        <w:t xml:space="preserve"> also utilized </w:t>
      </w:r>
      <w:proofErr w:type="spellStart"/>
      <w:r w:rsidRPr="00FC41E5">
        <w:t>Haq's</w:t>
      </w:r>
      <w:proofErr w:type="spellEnd"/>
      <w:r w:rsidRPr="00FC41E5">
        <w:t xml:space="preserve"> work in his own work on human capabilities.</w:t>
      </w:r>
    </w:p>
    <w:p w:rsidR="00CE2E13" w:rsidRPr="00FC41E5" w:rsidRDefault="00CE2E13" w:rsidP="008F5818">
      <w:pPr>
        <w:pStyle w:val="Default"/>
      </w:pPr>
      <w:r w:rsidRPr="00FC41E5">
        <w:t>The HDI has three dimensions-</w:t>
      </w:r>
    </w:p>
    <w:p w:rsidR="00CE2E13" w:rsidRPr="00FC41E5" w:rsidRDefault="00CE2E13" w:rsidP="008F5818">
      <w:pPr>
        <w:pStyle w:val="Default"/>
      </w:pPr>
      <w:r w:rsidRPr="00FC41E5">
        <w:t>Life expectancy at birth</w:t>
      </w:r>
    </w:p>
    <w:p w:rsidR="00CE2E13" w:rsidRPr="00FC41E5" w:rsidRDefault="00CE2E13" w:rsidP="008F5818">
      <w:pPr>
        <w:pStyle w:val="Default"/>
      </w:pPr>
      <w:r w:rsidRPr="00FC41E5">
        <w:t xml:space="preserve">Knowledge </w:t>
      </w:r>
    </w:p>
    <w:p w:rsidR="00CE2E13" w:rsidRPr="00FC41E5" w:rsidRDefault="00CE2E13" w:rsidP="008F5818">
      <w:pPr>
        <w:pStyle w:val="Default"/>
      </w:pPr>
      <w:r w:rsidRPr="00FC41E5">
        <w:t xml:space="preserve">A decent standard of living </w:t>
      </w:r>
    </w:p>
    <w:p w:rsidR="00CE2E13" w:rsidRPr="00FC41E5" w:rsidRDefault="00CE2E13" w:rsidP="008F5818">
      <w:pPr>
        <w:pStyle w:val="Default"/>
      </w:pPr>
      <w:r w:rsidRPr="00FC41E5">
        <w:t>Calculation of the index combines four major indicators-</w:t>
      </w:r>
    </w:p>
    <w:p w:rsidR="00CE2E13" w:rsidRPr="00FC41E5" w:rsidRDefault="00CE2E13" w:rsidP="008F5818">
      <w:pPr>
        <w:pStyle w:val="Default"/>
      </w:pPr>
      <w:r w:rsidRPr="00FC41E5">
        <w:t xml:space="preserve"> Life expectancy for health</w:t>
      </w:r>
    </w:p>
    <w:p w:rsidR="00CE2E13" w:rsidRPr="00FC41E5" w:rsidRDefault="00CE2E13" w:rsidP="008F5818">
      <w:pPr>
        <w:pStyle w:val="Default"/>
      </w:pPr>
      <w:r w:rsidRPr="00FC41E5">
        <w:t xml:space="preserve"> Expected years of schooling</w:t>
      </w:r>
    </w:p>
    <w:p w:rsidR="00CE2E13" w:rsidRPr="00FC41E5" w:rsidRDefault="00CE2E13" w:rsidP="008F5818">
      <w:pPr>
        <w:pStyle w:val="Default"/>
      </w:pPr>
      <w:r w:rsidRPr="00FC41E5">
        <w:t xml:space="preserve"> Mean of years of schooling for education and</w:t>
      </w:r>
    </w:p>
    <w:p w:rsidR="00CE2E13" w:rsidRPr="00FC41E5" w:rsidRDefault="00CE2E13" w:rsidP="008F5818">
      <w:pPr>
        <w:pStyle w:val="Default"/>
      </w:pPr>
      <w:r w:rsidRPr="00FC41E5">
        <w:t xml:space="preserve"> Gross National Income per capita for standard of living.</w:t>
      </w:r>
    </w:p>
    <w:p w:rsidR="00CE2E13" w:rsidRPr="00FC41E5" w:rsidRDefault="00CE2E13" w:rsidP="008F5818">
      <w:pPr>
        <w:pStyle w:val="Default"/>
      </w:pPr>
      <w:r w:rsidRPr="00FC41E5">
        <w:t>From the above indicators it calculates the following three dimension index-</w:t>
      </w:r>
    </w:p>
    <w:p w:rsidR="00CE2E13" w:rsidRPr="00FC41E5" w:rsidRDefault="00CE2E13" w:rsidP="008F5818">
      <w:pPr>
        <w:pStyle w:val="Default"/>
      </w:pPr>
      <w:r w:rsidRPr="00FC41E5">
        <w:t>Life expectancy index</w:t>
      </w:r>
    </w:p>
    <w:p w:rsidR="00CE2E13" w:rsidRPr="00FC41E5" w:rsidRDefault="00CE2E13" w:rsidP="008F5818">
      <w:pPr>
        <w:pStyle w:val="Default"/>
      </w:pPr>
      <w:r w:rsidRPr="00FC41E5">
        <w:t xml:space="preserve">Education index and </w:t>
      </w:r>
    </w:p>
    <w:p w:rsidR="00CE2E13" w:rsidRPr="00FC41E5" w:rsidRDefault="00CE2E13" w:rsidP="008F5818">
      <w:pPr>
        <w:pStyle w:val="Default"/>
      </w:pPr>
      <w:r w:rsidRPr="00FC41E5">
        <w:t>GNI index</w:t>
      </w:r>
    </w:p>
    <w:p w:rsidR="00CE2E13" w:rsidRPr="00FC41E5" w:rsidRDefault="00CE2E13" w:rsidP="00486E9B">
      <w:pPr>
        <w:pStyle w:val="Heading2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C41E5">
        <w:rPr>
          <w:rStyle w:val="mntl-sc-block-headingtext"/>
          <w:rFonts w:ascii="Arial" w:hAnsi="Arial" w:cs="Arial"/>
          <w:color w:val="auto"/>
          <w:sz w:val="24"/>
          <w:szCs w:val="24"/>
        </w:rPr>
        <w:lastRenderedPageBreak/>
        <w:t xml:space="preserve">Measurement of the HDI </w:t>
      </w:r>
    </w:p>
    <w:p w:rsidR="00CE2E13" w:rsidRPr="00EE34A8" w:rsidRDefault="00CE2E13" w:rsidP="00486E9B">
      <w:pPr>
        <w:shd w:val="clear" w:color="auto" w:fill="F2DBDB" w:themeFill="accent2" w:themeFillTint="33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41E5">
        <w:rPr>
          <w:rFonts w:ascii="Arial" w:hAnsi="Arial" w:cs="Arial"/>
          <w:sz w:val="24"/>
          <w:szCs w:val="24"/>
        </w:rPr>
        <w:t>The HDI is a summary measurement of basic achievement levels in human development. The computed HDI of a country is an average of indexes of each of the life aspects that are examined: knowledge and understanding, a long and healthy life, and an acceptable standard of living. Each of the four components is normalized to scale between 0 and 1, and then the geometric mean of the three components is calculated.</w:t>
      </w:r>
      <w:r w:rsidRPr="00FC41E5">
        <w:rPr>
          <w:rFonts w:ascii="Arial" w:eastAsia="Times New Roman" w:hAnsi="Arial" w:cs="Arial"/>
          <w:sz w:val="24"/>
          <w:szCs w:val="24"/>
        </w:rPr>
        <w:t xml:space="preserve"> In </w:t>
      </w:r>
      <w:r w:rsidRPr="00EE34A8">
        <w:rPr>
          <w:rFonts w:ascii="Arial" w:eastAsia="Times New Roman" w:hAnsi="Arial" w:cs="Arial"/>
          <w:sz w:val="24"/>
          <w:szCs w:val="24"/>
        </w:rPr>
        <w:t>its 2010 Human Development Report, the UNDP began using a new method of calculating the HDI. The fo</w:t>
      </w:r>
      <w:r w:rsidRPr="00FC41E5">
        <w:rPr>
          <w:rFonts w:ascii="Arial" w:eastAsia="Times New Roman" w:hAnsi="Arial" w:cs="Arial"/>
          <w:sz w:val="24"/>
          <w:szCs w:val="24"/>
        </w:rPr>
        <w:t xml:space="preserve">llowing three indices and </w:t>
      </w:r>
      <w:proofErr w:type="gramStart"/>
      <w:r w:rsidRPr="00FC41E5">
        <w:rPr>
          <w:rFonts w:ascii="Arial" w:eastAsia="Times New Roman" w:hAnsi="Arial" w:cs="Arial"/>
          <w:sz w:val="24"/>
          <w:szCs w:val="24"/>
        </w:rPr>
        <w:t>HDI  are</w:t>
      </w:r>
      <w:proofErr w:type="gramEnd"/>
      <w:r w:rsidRPr="00FC41E5">
        <w:rPr>
          <w:rFonts w:ascii="Arial" w:eastAsia="Times New Roman" w:hAnsi="Arial" w:cs="Arial"/>
          <w:sz w:val="24"/>
          <w:szCs w:val="24"/>
        </w:rPr>
        <w:t xml:space="preserve"> calculated as follows-  </w:t>
      </w:r>
    </w:p>
    <w:p w:rsidR="00CE2E13" w:rsidRPr="009602AC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  <w:u w:val="single"/>
        </w:rPr>
      </w:pPr>
      <w:r w:rsidRPr="009602AC">
        <w:rPr>
          <w:rFonts w:ascii="Arial" w:hAnsi="Arial" w:cs="Arial"/>
          <w:u w:val="single"/>
        </w:rPr>
        <w:t>Life Expectancy Index (LEI</w:t>
      </w:r>
      <w:proofErr w:type="gramStart"/>
      <w:r w:rsidRPr="009602AC">
        <w:rPr>
          <w:rFonts w:ascii="Arial" w:hAnsi="Arial" w:cs="Arial"/>
          <w:u w:val="single"/>
        </w:rPr>
        <w:t xml:space="preserve">) </w:t>
      </w:r>
      <w:r w:rsidR="009602AC">
        <w:rPr>
          <w:rFonts w:ascii="Arial" w:hAnsi="Arial" w:cs="Arial"/>
          <w:u w:val="single"/>
        </w:rPr>
        <w:t>:</w:t>
      </w:r>
      <w:proofErr w:type="gramEnd"/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>LEI</w:t>
      </w:r>
      <w:r w:rsidR="009602AC">
        <w:rPr>
          <w:rFonts w:ascii="Arial" w:hAnsi="Arial" w:cs="Arial"/>
        </w:rPr>
        <w:t xml:space="preserve"> </w:t>
      </w:r>
      <w:r w:rsidRPr="009602AC">
        <w:rPr>
          <w:rFonts w:ascii="Arial" w:hAnsi="Arial" w:cs="Arial"/>
          <w:sz w:val="28"/>
        </w:rPr>
        <w:t xml:space="preserve">=  </w:t>
      </w:r>
      <m:oMath>
        <m:f>
          <m:fPr>
            <m:ctrlPr>
              <w:rPr>
                <w:rFonts w:ascii="Cambria Math" w:hAnsi="Arial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LE</m:t>
            </m:r>
            <m:r>
              <w:rPr>
                <w:rFonts w:ascii="Cambria Math" w:hAnsi="Arial" w:cs="Arial"/>
                <w:sz w:val="28"/>
              </w:rPr>
              <m:t>-</m:t>
            </m:r>
            <m:r>
              <w:rPr>
                <w:rFonts w:ascii="Cambria Math" w:hAnsi="Arial" w:cs="Arial"/>
                <w:sz w:val="28"/>
              </w:rPr>
              <m:t>20</m:t>
            </m:r>
          </m:num>
          <m:den>
            <m:r>
              <w:rPr>
                <w:rFonts w:ascii="Cambria Math" w:hAnsi="Arial" w:cs="Arial"/>
                <w:sz w:val="28"/>
              </w:rPr>
              <m:t>85</m:t>
            </m:r>
            <m:r>
              <w:rPr>
                <w:rFonts w:ascii="Cambria Math" w:hAnsi="Arial" w:cs="Arial"/>
                <w:sz w:val="28"/>
              </w:rPr>
              <m:t>-</m:t>
            </m:r>
            <m:r>
              <w:rPr>
                <w:rFonts w:ascii="Cambria Math" w:hAnsi="Arial" w:cs="Arial"/>
                <w:sz w:val="28"/>
              </w:rPr>
              <m:t>20</m:t>
            </m:r>
          </m:den>
        </m:f>
      </m:oMath>
      <w:r w:rsidR="009602AC">
        <w:rPr>
          <w:rFonts w:ascii="Arial" w:hAnsi="Arial" w:cs="Arial"/>
          <w:sz w:val="28"/>
        </w:rPr>
        <w:t xml:space="preserve"> </w:t>
      </w:r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 xml:space="preserve">The health aspect of the HDI is measured by the Life Expectancy Index, as calculated at the time of birth, in each country. </w:t>
      </w:r>
      <w:proofErr w:type="gramStart"/>
      <w:r w:rsidRPr="00FC41E5">
        <w:rPr>
          <w:rFonts w:ascii="Arial" w:hAnsi="Arial" w:cs="Arial"/>
        </w:rPr>
        <w:t>This  component</w:t>
      </w:r>
      <w:proofErr w:type="gramEnd"/>
      <w:r w:rsidRPr="00FC41E5">
        <w:rPr>
          <w:rFonts w:ascii="Arial" w:hAnsi="Arial" w:cs="Arial"/>
        </w:rPr>
        <w:t xml:space="preserve"> is equal to 0 when life expectancy is 20 and equal to 1 when life expectancy is 85. LE is the life expectancy of the countries.</w:t>
      </w:r>
    </w:p>
    <w:p w:rsidR="00CE2E13" w:rsidRPr="009602AC" w:rsidRDefault="00F16228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  <w:u w:val="single"/>
        </w:rPr>
      </w:pPr>
      <w:hyperlink r:id="rId13" w:tooltip="Education Index" w:history="1">
        <w:r w:rsidR="00CE2E13" w:rsidRPr="009602AC">
          <w:rPr>
            <w:rStyle w:val="Hyperlink"/>
            <w:rFonts w:ascii="Arial" w:hAnsi="Arial" w:cs="Arial"/>
            <w:color w:val="auto"/>
          </w:rPr>
          <w:t>Education Index</w:t>
        </w:r>
      </w:hyperlink>
      <w:r w:rsidR="00CE2E13" w:rsidRPr="009602AC">
        <w:rPr>
          <w:rFonts w:ascii="Arial" w:hAnsi="Arial" w:cs="Arial"/>
          <w:u w:val="single"/>
        </w:rPr>
        <w:t xml:space="preserve"> (EI</w:t>
      </w:r>
      <w:proofErr w:type="gramStart"/>
      <w:r w:rsidR="00CE2E13" w:rsidRPr="009602AC">
        <w:rPr>
          <w:rFonts w:ascii="Arial" w:hAnsi="Arial" w:cs="Arial"/>
          <w:u w:val="single"/>
        </w:rPr>
        <w:t xml:space="preserve">) </w:t>
      </w:r>
      <w:r w:rsidR="009602AC">
        <w:rPr>
          <w:rFonts w:ascii="Arial" w:hAnsi="Arial" w:cs="Arial"/>
          <w:u w:val="single"/>
        </w:rPr>
        <w:t>:</w:t>
      </w:r>
      <w:proofErr w:type="gramEnd"/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 xml:space="preserve">EI = </w:t>
      </w:r>
      <m:oMath>
        <m:f>
          <m:fPr>
            <m:ctrlPr>
              <w:rPr>
                <w:rFonts w:ascii="Cambria Math" w:hAnsi="Arial" w:cs="Arial"/>
                <w:i/>
                <w:sz w:val="30"/>
              </w:rPr>
            </m:ctrlPr>
          </m:fPr>
          <m:num>
            <m:r>
              <w:rPr>
                <w:rFonts w:ascii="Cambria Math" w:hAnsi="Cambria Math" w:cs="Arial"/>
                <w:sz w:val="30"/>
              </w:rPr>
              <m:t>MYSI</m:t>
            </m:r>
            <m:r>
              <w:rPr>
                <w:rFonts w:ascii="Cambria Math" w:hAnsi="Arial" w:cs="Arial"/>
                <w:sz w:val="30"/>
              </w:rPr>
              <m:t>+</m:t>
            </m:r>
            <m:r>
              <w:rPr>
                <w:rFonts w:ascii="Cambria Math" w:hAnsi="Cambria Math" w:cs="Arial"/>
                <w:sz w:val="30"/>
              </w:rPr>
              <m:t>EYSI</m:t>
            </m:r>
          </m:num>
          <m:den>
            <m:r>
              <w:rPr>
                <w:rFonts w:ascii="Cambria Math" w:hAnsi="Arial" w:cs="Arial"/>
                <w:sz w:val="30"/>
              </w:rPr>
              <m:t>2</m:t>
            </m:r>
          </m:den>
        </m:f>
      </m:oMath>
      <w:r w:rsidRPr="00FC41E5">
        <w:rPr>
          <w:rFonts w:ascii="Arial" w:hAnsi="Arial" w:cs="Arial"/>
        </w:rPr>
        <w:t xml:space="preserve">  where </w:t>
      </w:r>
      <w:proofErr w:type="gramStart"/>
      <w:r w:rsidRPr="00FC41E5">
        <w:rPr>
          <w:rFonts w:ascii="Arial" w:hAnsi="Arial" w:cs="Arial"/>
        </w:rPr>
        <w:t>MYSI(</w:t>
      </w:r>
      <w:proofErr w:type="gramEnd"/>
      <w:r w:rsidRPr="00FC41E5">
        <w:rPr>
          <w:rFonts w:ascii="Arial" w:hAnsi="Arial" w:cs="Arial"/>
        </w:rPr>
        <w:t xml:space="preserve">Mean Years of Schooling Index) =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MYSI</m:t>
            </m:r>
          </m:num>
          <m:den>
            <m:r>
              <w:rPr>
                <w:rFonts w:ascii="Cambria Math" w:hAnsi="Arial" w:cs="Arial"/>
              </w:rPr>
              <m:t>15</m:t>
            </m:r>
          </m:den>
        </m:f>
      </m:oMath>
      <w:r w:rsidRPr="00FC41E5">
        <w:rPr>
          <w:rFonts w:ascii="Arial" w:hAnsi="Arial" w:cs="Arial"/>
        </w:rPr>
        <w:t xml:space="preserve">  and </w:t>
      </w:r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ind w:left="2160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 xml:space="preserve">      </w:t>
      </w:r>
      <w:proofErr w:type="gramStart"/>
      <w:r w:rsidRPr="00FC41E5">
        <w:rPr>
          <w:rFonts w:ascii="Arial" w:hAnsi="Arial" w:cs="Arial"/>
        </w:rPr>
        <w:t>EYSI(</w:t>
      </w:r>
      <w:proofErr w:type="gramEnd"/>
      <w:r w:rsidRPr="00FC41E5">
        <w:rPr>
          <w:rFonts w:ascii="Arial" w:hAnsi="Arial" w:cs="Arial"/>
        </w:rPr>
        <w:t xml:space="preserve">Expected Years of Schooling Index)=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EYSI</m:t>
            </m:r>
          </m:num>
          <m:den>
            <m:r>
              <w:rPr>
                <w:rFonts w:ascii="Cambria Math" w:hAnsi="Arial" w:cs="Arial"/>
              </w:rPr>
              <m:t>15</m:t>
            </m:r>
          </m:den>
        </m:f>
      </m:oMath>
      <w:r w:rsidRPr="00FC41E5">
        <w:rPr>
          <w:rStyle w:val="mwe-math-mathml-inline"/>
          <w:rFonts w:ascii="Arial" w:hAnsi="Arial" w:cs="Arial"/>
          <w:vanish/>
        </w:rPr>
        <w:t xml:space="preserve">= MYSI + EYSI 2 {\displaystyle ={\frac {{\textrm {MYSI}}+{\textrm {EYSI}}}{2}}} </w:t>
      </w:r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 xml:space="preserve">Education </w:t>
      </w:r>
      <w:proofErr w:type="gramStart"/>
      <w:r w:rsidRPr="00FC41E5">
        <w:rPr>
          <w:rFonts w:ascii="Arial" w:hAnsi="Arial" w:cs="Arial"/>
        </w:rPr>
        <w:t>Index  is</w:t>
      </w:r>
      <w:proofErr w:type="gramEnd"/>
      <w:r w:rsidRPr="00FC41E5">
        <w:rPr>
          <w:rFonts w:ascii="Arial" w:hAnsi="Arial" w:cs="Arial"/>
        </w:rPr>
        <w:t xml:space="preserve"> measured on two levels: the mean years of schooling(MYS) for residents of a country and the expected years of schooling(EYS) that a child has at the average age for starting school. These are each separately normalized so that 15 mean years of schooling equals one, and 18 years </w:t>
      </w:r>
      <w:proofErr w:type="gramStart"/>
      <w:r w:rsidRPr="00FC41E5">
        <w:rPr>
          <w:rFonts w:ascii="Arial" w:hAnsi="Arial" w:cs="Arial"/>
        </w:rPr>
        <w:t>of  expected</w:t>
      </w:r>
      <w:proofErr w:type="gramEnd"/>
      <w:r w:rsidRPr="00FC41E5">
        <w:rPr>
          <w:rFonts w:ascii="Arial" w:hAnsi="Arial" w:cs="Arial"/>
        </w:rPr>
        <w:t xml:space="preserve"> schooling equals one, and a simple mean of the two is calculated. Here 15 is the projected maximum indicator for 2025 and 18 is equivalent to achieving a master degree in most countries.</w:t>
      </w:r>
    </w:p>
    <w:p w:rsidR="00CE2E13" w:rsidRPr="009602AC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  <w:u w:val="single"/>
        </w:rPr>
      </w:pPr>
      <w:r w:rsidRPr="009602AC">
        <w:rPr>
          <w:rFonts w:ascii="Arial" w:hAnsi="Arial" w:cs="Arial"/>
          <w:u w:val="single"/>
        </w:rPr>
        <w:lastRenderedPageBreak/>
        <w:t>Income Index (II)</w:t>
      </w:r>
      <w:r w:rsidR="009602AC">
        <w:rPr>
          <w:rFonts w:ascii="Arial" w:hAnsi="Arial" w:cs="Arial"/>
          <w:u w:val="single"/>
        </w:rPr>
        <w:t>:</w:t>
      </w:r>
    </w:p>
    <w:p w:rsidR="00CE2E13" w:rsidRPr="009602AC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  <w:sz w:val="34"/>
        </w:rPr>
      </w:pPr>
      <w:r w:rsidRPr="009602AC">
        <w:rPr>
          <w:rFonts w:ascii="Arial" w:hAnsi="Arial" w:cs="Arial"/>
          <w:sz w:val="34"/>
        </w:rPr>
        <w:t xml:space="preserve">I </w:t>
      </w:r>
      <w:proofErr w:type="spellStart"/>
      <w:r w:rsidRPr="009602AC">
        <w:rPr>
          <w:rFonts w:ascii="Arial" w:hAnsi="Arial" w:cs="Arial"/>
          <w:sz w:val="34"/>
        </w:rPr>
        <w:t>I</w:t>
      </w:r>
      <w:proofErr w:type="spellEnd"/>
      <w:r w:rsidRPr="009602AC">
        <w:rPr>
          <w:rFonts w:ascii="Arial" w:hAnsi="Arial" w:cs="Arial"/>
          <w:sz w:val="34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34"/>
              </w:rPr>
            </m:ctrlPr>
          </m:fPr>
          <m:num>
            <m:func>
              <m:funcPr>
                <m:ctrlPr>
                  <w:rPr>
                    <w:rFonts w:ascii="Cambria Math" w:hAnsi="Arial" w:cs="Arial"/>
                    <w:sz w:val="3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3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sz w:val="34"/>
                      </w:rPr>
                    </m:ctrlPr>
                  </m:dPr>
                  <m:e>
                    <m:r>
                      <w:rPr>
                        <w:rFonts w:ascii="Cambria Math" w:hAnsi="Arial" w:cs="Arial"/>
                        <w:sz w:val="3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 w:val="3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34"/>
                          </w:rPr>
                          <m:t>GNI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34"/>
                          </w:rPr>
                          <m:t>pc</m:t>
                        </m:r>
                      </m:sub>
                    </m:sSub>
                  </m:e>
                </m:d>
                <m:ctrlPr>
                  <w:rPr>
                    <w:rFonts w:ascii="Cambria Math" w:hAnsi="Arial" w:cs="Arial"/>
                    <w:i/>
                    <w:sz w:val="34"/>
                  </w:rPr>
                </m:ctrlPr>
              </m:e>
            </m:func>
            <m:r>
              <w:rPr>
                <w:rFonts w:ascii="Cambria Math" w:hAnsi="Arial" w:cs="Arial"/>
                <w:sz w:val="3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34"/>
              </w:rPr>
              <m:t>ln</m:t>
            </m:r>
            <m:r>
              <m:rPr>
                <m:sty m:val="p"/>
              </m:rPr>
              <w:rPr>
                <w:rFonts w:ascii="Cambria Math" w:hAnsi="Cambria Math" w:cs="Arial"/>
                <w:sz w:val="34"/>
              </w:rPr>
              <m:t>⁡</m:t>
            </m:r>
            <m:r>
              <w:rPr>
                <w:rFonts w:ascii="Cambria Math" w:hAnsi="Arial" w:cs="Arial"/>
                <w:sz w:val="34"/>
              </w:rPr>
              <m:t>(100)</m:t>
            </m:r>
          </m:num>
          <m:den>
            <m:func>
              <m:funcPr>
                <m:ctrlPr>
                  <w:rPr>
                    <w:rFonts w:ascii="Cambria Math" w:hAnsi="Arial" w:cs="Arial"/>
                    <w:sz w:val="3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Arial" w:cs="Arial"/>
                    <w:sz w:val="3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Arial" w:cs="Arial"/>
                        <w:i/>
                        <w:sz w:val="34"/>
                      </w:rPr>
                    </m:ctrlPr>
                  </m:dPr>
                  <m:e>
                    <m:r>
                      <w:rPr>
                        <w:rFonts w:ascii="Cambria Math" w:hAnsi="Arial" w:cs="Arial"/>
                        <w:sz w:val="34"/>
                      </w:rPr>
                      <m:t>75,000</m:t>
                    </m:r>
                  </m:e>
                </m:d>
                <m:ctrlPr>
                  <w:rPr>
                    <w:rFonts w:ascii="Cambria Math" w:hAnsi="Arial" w:cs="Arial"/>
                    <w:i/>
                    <w:sz w:val="34"/>
                  </w:rPr>
                </m:ctrlPr>
              </m:e>
            </m:func>
            <m:r>
              <w:rPr>
                <w:rFonts w:ascii="Cambria Math" w:hAnsi="Arial" w:cs="Arial"/>
                <w:sz w:val="3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34"/>
              </w:rPr>
              <m:t>ln</m:t>
            </m:r>
            <m:r>
              <m:rPr>
                <m:sty m:val="p"/>
              </m:rPr>
              <w:rPr>
                <w:rFonts w:ascii="Cambria Math" w:hAnsi="Cambria Math" w:cs="Arial"/>
                <w:sz w:val="34"/>
              </w:rPr>
              <m:t>⁡</m:t>
            </m:r>
            <m:r>
              <w:rPr>
                <w:rFonts w:ascii="Cambria Math" w:hAnsi="Arial" w:cs="Arial"/>
                <w:sz w:val="34"/>
              </w:rPr>
              <m:t>(100)</m:t>
            </m:r>
          </m:den>
        </m:f>
      </m:oMath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 xml:space="preserve">The metric chosen to represent the standard of living is GNI per capita based on </w:t>
      </w:r>
      <w:hyperlink r:id="rId14" w:history="1">
        <w:r w:rsidRPr="00EE2BCB">
          <w:rPr>
            <w:rStyle w:val="Hyperlink"/>
            <w:rFonts w:ascii="Arial" w:hAnsi="Arial" w:cs="Arial"/>
            <w:color w:val="auto"/>
            <w:u w:val="none"/>
          </w:rPr>
          <w:t>purchasing power</w:t>
        </w:r>
      </w:hyperlink>
      <w:r w:rsidRPr="00EE2BCB">
        <w:rPr>
          <w:rFonts w:ascii="Arial" w:hAnsi="Arial" w:cs="Arial"/>
        </w:rPr>
        <w:t xml:space="preserve"> </w:t>
      </w:r>
      <w:r w:rsidRPr="00FC41E5">
        <w:rPr>
          <w:rFonts w:ascii="Arial" w:hAnsi="Arial" w:cs="Arial"/>
        </w:rPr>
        <w:t xml:space="preserve">parity (PPP), a common metric used to reflect average income. The standard of living is normalized so that it is equal to 1 when GNI per capita is $75,000 and equal to 0 when GNI per capita is $100. </w:t>
      </w:r>
    </w:p>
    <w:p w:rsidR="00CE2E13" w:rsidRPr="00FC41E5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</w:rPr>
      </w:pPr>
      <w:r w:rsidRPr="00FC41E5">
        <w:rPr>
          <w:rFonts w:ascii="Arial" w:hAnsi="Arial" w:cs="Arial"/>
        </w:rPr>
        <w:t>The final Human Development Index score for each country is calculated as a geometric mean of the three components by taking the cube root of the product of the normalized component scores.</w:t>
      </w:r>
    </w:p>
    <w:p w:rsidR="00CE2E13" w:rsidRPr="00EE2BCB" w:rsidRDefault="00CE2E13" w:rsidP="00486E9B">
      <w:pPr>
        <w:pStyle w:val="NormalWeb"/>
        <w:shd w:val="clear" w:color="auto" w:fill="F2DBDB" w:themeFill="accent2" w:themeFillTint="33"/>
        <w:spacing w:line="360" w:lineRule="auto"/>
        <w:jc w:val="both"/>
        <w:rPr>
          <w:rFonts w:ascii="Arial" w:hAnsi="Arial" w:cs="Arial"/>
          <w:sz w:val="36"/>
        </w:rPr>
      </w:pPr>
      <w:r w:rsidRPr="00EE2BCB">
        <w:rPr>
          <w:rFonts w:ascii="Arial" w:hAnsi="Arial" w:cs="Arial"/>
          <w:sz w:val="36"/>
        </w:rPr>
        <w:t xml:space="preserve">HDI= </w:t>
      </w:r>
      <m:oMath>
        <m:rad>
          <m:radPr>
            <m:ctrlPr>
              <w:rPr>
                <w:rFonts w:ascii="Cambria Math" w:hAnsi="Arial" w:cs="Arial"/>
                <w:i/>
                <w:sz w:val="36"/>
              </w:rPr>
            </m:ctrlPr>
          </m:radPr>
          <m:deg>
            <m:r>
              <w:rPr>
                <w:rFonts w:ascii="Cambria Math" w:hAnsi="Arial" w:cs="Arial"/>
                <w:sz w:val="36"/>
              </w:rPr>
              <m:t>3</m:t>
            </m:r>
          </m:deg>
          <m:e>
            <m:r>
              <w:rPr>
                <w:rFonts w:ascii="Cambria Math" w:hAnsi="Cambria Math" w:cs="Arial"/>
                <w:sz w:val="36"/>
              </w:rPr>
              <m:t>LEI</m:t>
            </m:r>
            <m:r>
              <w:rPr>
                <w:rFonts w:ascii="Cambria Math" w:hAnsi="Arial" w:cs="Arial"/>
                <w:sz w:val="36"/>
              </w:rPr>
              <m:t>.</m:t>
            </m:r>
            <m:r>
              <w:rPr>
                <w:rFonts w:ascii="Cambria Math" w:hAnsi="Cambria Math" w:cs="Arial"/>
                <w:sz w:val="36"/>
              </w:rPr>
              <m:t>EI</m:t>
            </m:r>
            <m:r>
              <w:rPr>
                <w:rFonts w:ascii="Cambria Math" w:hAnsi="Arial" w:cs="Arial"/>
                <w:sz w:val="36"/>
              </w:rPr>
              <m:t>.</m:t>
            </m:r>
            <m:r>
              <w:rPr>
                <w:rFonts w:ascii="Cambria Math" w:hAnsi="Cambria Math" w:cs="Arial"/>
                <w:sz w:val="36"/>
              </w:rPr>
              <m:t>II</m:t>
            </m:r>
          </m:e>
        </m:rad>
      </m:oMath>
    </w:p>
    <w:p w:rsidR="00177D81" w:rsidRPr="00FC41E5" w:rsidRDefault="00177D81" w:rsidP="00FC41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77D81" w:rsidRPr="00FC41E5" w:rsidSect="0017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6BB5"/>
    <w:multiLevelType w:val="hybridMultilevel"/>
    <w:tmpl w:val="44AABE1A"/>
    <w:lvl w:ilvl="0" w:tplc="F034991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6641"/>
    <w:multiLevelType w:val="hybridMultilevel"/>
    <w:tmpl w:val="875A0C90"/>
    <w:lvl w:ilvl="0" w:tplc="C5749BE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8430D"/>
    <w:multiLevelType w:val="hybridMultilevel"/>
    <w:tmpl w:val="3244D7C0"/>
    <w:lvl w:ilvl="0" w:tplc="B5D06E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E2E13"/>
    <w:rsid w:val="00177D81"/>
    <w:rsid w:val="00486E9B"/>
    <w:rsid w:val="008F5818"/>
    <w:rsid w:val="009602AC"/>
    <w:rsid w:val="00CE2E13"/>
    <w:rsid w:val="00D218F0"/>
    <w:rsid w:val="00E334FB"/>
    <w:rsid w:val="00EE2BCB"/>
    <w:rsid w:val="00F16228"/>
    <w:rsid w:val="00FC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13"/>
  </w:style>
  <w:style w:type="paragraph" w:styleId="Heading1">
    <w:name w:val="heading 1"/>
    <w:basedOn w:val="Normal"/>
    <w:next w:val="Normal"/>
    <w:link w:val="Heading1Char"/>
    <w:uiPriority w:val="9"/>
    <w:qFormat/>
    <w:rsid w:val="008F5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E2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E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F5818"/>
    <w:pPr>
      <w:shd w:val="clear" w:color="auto" w:fill="F2DBDB" w:themeFill="accent2" w:themeFillTint="33"/>
      <w:autoSpaceDE w:val="0"/>
      <w:autoSpaceDN w:val="0"/>
      <w:adjustRightInd w:val="0"/>
      <w:spacing w:before="0" w:after="0" w:line="36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2E13"/>
    <w:rPr>
      <w:color w:val="0000FF"/>
      <w:u w:val="single"/>
    </w:rPr>
  </w:style>
  <w:style w:type="character" w:customStyle="1" w:styleId="mntl-sc-block-headingtext">
    <w:name w:val="mntl-sc-block-heading__text"/>
    <w:basedOn w:val="DefaultParagraphFont"/>
    <w:rsid w:val="00CE2E13"/>
  </w:style>
  <w:style w:type="character" w:customStyle="1" w:styleId="mwe-math-mathml-inline">
    <w:name w:val="mwe-math-mathml-inline"/>
    <w:basedOn w:val="DefaultParagraphFont"/>
    <w:rsid w:val="00CE2E13"/>
  </w:style>
  <w:style w:type="paragraph" w:styleId="BalloonText">
    <w:name w:val="Balloon Text"/>
    <w:basedOn w:val="Normal"/>
    <w:link w:val="BalloonTextChar"/>
    <w:uiPriority w:val="99"/>
    <w:semiHidden/>
    <w:unhideWhenUsed/>
    <w:rsid w:val="00CE2E1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5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rances_Stewart_(economist)" TargetMode="External"/><Relationship Id="rId13" Type="http://schemas.openxmlformats.org/officeDocument/2006/relationships/hyperlink" Target="https://en.wikipedia.org/wiki/Education_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aul_Streeten" TargetMode="External"/><Relationship Id="rId12" Type="http://schemas.openxmlformats.org/officeDocument/2006/relationships/hyperlink" Target="https://en.wikipedia.org/wiki/Amartya_S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eople-centered_development" TargetMode="External"/><Relationship Id="rId11" Type="http://schemas.openxmlformats.org/officeDocument/2006/relationships/hyperlink" Target="https://en.wikipedia.org/wiki/Meghnad_Desai" TargetMode="External"/><Relationship Id="rId5" Type="http://schemas.openxmlformats.org/officeDocument/2006/relationships/hyperlink" Target="https://en.wikipedia.org/wiki/National_incom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Keith_Griffin_(economist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ustav_Ranis" TargetMode="External"/><Relationship Id="rId14" Type="http://schemas.openxmlformats.org/officeDocument/2006/relationships/hyperlink" Target="https://www.investopedia.com/terms/p/purchasingpowe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 Studio</dc:creator>
  <cp:lastModifiedBy>hp</cp:lastModifiedBy>
  <cp:revision>7</cp:revision>
  <dcterms:created xsi:type="dcterms:W3CDTF">2020-04-23T03:49:00Z</dcterms:created>
  <dcterms:modified xsi:type="dcterms:W3CDTF">2023-02-15T14:25:00Z</dcterms:modified>
</cp:coreProperties>
</file>